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5BB3C32E" w:rsidR="001A2A0C" w:rsidRPr="002366DA" w:rsidRDefault="008D0EB4" w:rsidP="002366DA">
      <w:pPr>
        <w:pStyle w:val="Akapitzlist"/>
        <w:spacing w:before="120" w:line="276" w:lineRule="auto"/>
        <w:ind w:left="284"/>
        <w:jc w:val="center"/>
        <w:outlineLvl w:val="0"/>
        <w:rPr>
          <w:rFonts w:cstheme="minorHAnsi"/>
          <w:b/>
          <w:sz w:val="20"/>
          <w:szCs w:val="20"/>
        </w:rPr>
      </w:pPr>
      <w:r w:rsidRPr="002366DA">
        <w:rPr>
          <w:rFonts w:cstheme="minorHAnsi"/>
          <w:b/>
          <w:sz w:val="20"/>
          <w:szCs w:val="20"/>
        </w:rPr>
        <w:t>„</w:t>
      </w:r>
      <w:r w:rsidR="00CF1845" w:rsidRPr="00CF1845">
        <w:rPr>
          <w:rFonts w:cstheme="minorHAnsi"/>
          <w:b/>
          <w:sz w:val="20"/>
          <w:szCs w:val="20"/>
        </w:rPr>
        <w:t>Przyłączenie budynku mieszkalnego w miejscowości Kaleń-Towarzystwo ul. Magnolii dz. nr 147/7 gm.  Żabia Wola</w:t>
      </w:r>
      <w:r w:rsidRPr="002366DA">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1B212286"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2366DA">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366DA">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3BEAED4D" w:rsidR="004906BC" w:rsidRPr="007757B5" w:rsidRDefault="002366DA" w:rsidP="00DB2BFF">
      <w:pPr>
        <w:pStyle w:val="Akapitzlist"/>
        <w:spacing w:before="120" w:line="276" w:lineRule="auto"/>
        <w:ind w:left="284"/>
        <w:jc w:val="both"/>
        <w:outlineLvl w:val="0"/>
        <w:rPr>
          <w:rFonts w:cstheme="minorHAnsi"/>
          <w:szCs w:val="18"/>
        </w:rPr>
      </w:pPr>
      <w:r>
        <w:rPr>
          <w:rFonts w:cstheme="minorHAnsi"/>
          <w:b/>
          <w:szCs w:val="18"/>
        </w:rPr>
        <w:t>6</w:t>
      </w:r>
      <w:r w:rsidR="004644EA" w:rsidRPr="004644EA">
        <w:rPr>
          <w:rFonts w:cstheme="minorHAnsi"/>
          <w:b/>
          <w:szCs w:val="18"/>
        </w:rPr>
        <w:t xml:space="preserve"> mi</w:t>
      </w:r>
      <w:r>
        <w:rPr>
          <w:rFonts w:cstheme="minorHAnsi"/>
          <w:b/>
          <w:szCs w:val="18"/>
        </w:rPr>
        <w:t>esięcy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6A130E2C" w:rsidR="004906BC" w:rsidRPr="002366DA"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2366DA">
        <w:rPr>
          <w:rFonts w:cstheme="minorHAnsi"/>
          <w:b/>
          <w:szCs w:val="18"/>
        </w:rPr>
        <w:t>RE Żyrardów</w:t>
      </w:r>
      <w:r w:rsidR="00846661">
        <w:rPr>
          <w:rFonts w:cstheme="minorHAnsi"/>
          <w:b/>
          <w:szCs w:val="18"/>
        </w:rPr>
        <w:t xml:space="preserve">,  miejscowość </w:t>
      </w:r>
      <w:r w:rsidR="00CF1845">
        <w:rPr>
          <w:rFonts w:cstheme="minorHAnsi"/>
          <w:b/>
          <w:szCs w:val="18"/>
        </w:rPr>
        <w:t>Kaleń-Towarzystwo</w:t>
      </w:r>
      <w:r w:rsidR="00846661">
        <w:rPr>
          <w:rFonts w:cstheme="minorHAnsi"/>
          <w:b/>
          <w:szCs w:val="18"/>
        </w:rPr>
        <w:t>, gm. Żabia Wola</w:t>
      </w:r>
      <w:r w:rsidR="002366DA" w:rsidRPr="002366DA">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9C9AB5" w14:textId="5E6457C8"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8BFE260"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366DA">
        <w:rPr>
          <w:rFonts w:cstheme="minorHAnsi"/>
          <w:b/>
          <w:szCs w:val="18"/>
        </w:rPr>
        <w:t xml:space="preserve">Dokumentacja    </w:t>
      </w:r>
      <w:r w:rsidR="002B5B5C" w:rsidRPr="002366DA">
        <w:rPr>
          <w:rFonts w:cstheme="minorHAnsi"/>
          <w:b/>
          <w:szCs w:val="18"/>
        </w:rPr>
        <w:t xml:space="preserve"> </w:t>
      </w:r>
      <w:r w:rsidR="002B5B5C" w:rsidRPr="002366DA">
        <w:rPr>
          <w:rFonts w:cstheme="minorHAnsi"/>
          <w:b/>
          <w:szCs w:val="18"/>
        </w:rPr>
        <w:br/>
      </w:r>
      <w:r w:rsidR="002366DA" w:rsidRPr="002366DA">
        <w:rPr>
          <w:rFonts w:cstheme="minorHAnsi"/>
          <w:b/>
          <w:szCs w:val="18"/>
        </w:rPr>
        <w:t xml:space="preserve">projektowa </w:t>
      </w:r>
      <w:r w:rsidRPr="002366DA">
        <w:rPr>
          <w:rFonts w:cstheme="minorHAnsi"/>
          <w:b/>
          <w:szCs w:val="18"/>
        </w:rPr>
        <w:t xml:space="preserv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16D3AFAB" w:rsidR="00D8328D" w:rsidRPr="002366DA" w:rsidRDefault="002366DA" w:rsidP="002366DA">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wtórnych (o odpowiedniej kolorystyce i przekroju przewodów) od przekładników prądowych do listwy kontrolno-pomiarowej wraz z obwodami prądowymi i napięciowymi  oraz od listwy kontrolno-pomiarowej </w:t>
      </w:r>
      <w:r w:rsidRPr="002B5B5C">
        <w:rPr>
          <w:rFonts w:cstheme="minorHAnsi"/>
          <w:szCs w:val="18"/>
        </w:rPr>
        <w:lastRenderedPageBreak/>
        <w:t>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lastRenderedPageBreak/>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115354D" w:rsidR="00347E8D" w:rsidRDefault="00347E8D">
        <w:pPr>
          <w:pStyle w:val="Stopka"/>
          <w:jc w:val="right"/>
        </w:pPr>
        <w:r>
          <w:fldChar w:fldCharType="begin"/>
        </w:r>
        <w:r>
          <w:instrText>PAGE   \* MERGEFORMAT</w:instrText>
        </w:r>
        <w:r>
          <w:fldChar w:fldCharType="separate"/>
        </w:r>
        <w:r w:rsidR="00846661">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7FC7A3F6"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7B552B">
            <w:rPr>
              <w:rFonts w:asciiTheme="majorHAnsi" w:hAnsiTheme="majorHAnsi"/>
              <w:color w:val="000000" w:themeColor="text1"/>
              <w:sz w:val="14"/>
              <w:szCs w:val="18"/>
            </w:rPr>
            <w:t>4644</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2057506560">
    <w:abstractNumId w:val="6"/>
  </w:num>
  <w:num w:numId="2" w16cid:durableId="648482210">
    <w:abstractNumId w:val="1"/>
  </w:num>
  <w:num w:numId="3" w16cid:durableId="799420190">
    <w:abstractNumId w:val="3"/>
  </w:num>
  <w:num w:numId="4" w16cid:durableId="528104389">
    <w:abstractNumId w:val="7"/>
  </w:num>
  <w:num w:numId="5" w16cid:durableId="274531588">
    <w:abstractNumId w:val="0"/>
  </w:num>
  <w:num w:numId="6" w16cid:durableId="988941416">
    <w:abstractNumId w:val="4"/>
  </w:num>
  <w:num w:numId="7" w16cid:durableId="1851866394">
    <w:abstractNumId w:val="9"/>
  </w:num>
  <w:num w:numId="8" w16cid:durableId="1841772684">
    <w:abstractNumId w:val="8"/>
  </w:num>
  <w:num w:numId="9" w16cid:durableId="330526335">
    <w:abstractNumId w:val="11"/>
  </w:num>
  <w:num w:numId="10" w16cid:durableId="239291220">
    <w:abstractNumId w:val="15"/>
  </w:num>
  <w:num w:numId="11" w16cid:durableId="896665704">
    <w:abstractNumId w:val="5"/>
  </w:num>
  <w:num w:numId="12" w16cid:durableId="2099935640">
    <w:abstractNumId w:val="14"/>
  </w:num>
  <w:num w:numId="13" w16cid:durableId="1919823489">
    <w:abstractNumId w:val="10"/>
  </w:num>
  <w:num w:numId="14" w16cid:durableId="1279412057">
    <w:abstractNumId w:val="13"/>
  </w:num>
  <w:num w:numId="15" w16cid:durableId="1099059453">
    <w:abstractNumId w:val="12"/>
  </w:num>
  <w:num w:numId="16" w16cid:durableId="26739273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37AB"/>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66DA"/>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1071"/>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B552B"/>
    <w:rsid w:val="007C6687"/>
    <w:rsid w:val="007C67FA"/>
    <w:rsid w:val="007D0675"/>
    <w:rsid w:val="007D1209"/>
    <w:rsid w:val="00812E3F"/>
    <w:rsid w:val="008130D5"/>
    <w:rsid w:val="0081735D"/>
    <w:rsid w:val="008217CE"/>
    <w:rsid w:val="00827A7E"/>
    <w:rsid w:val="00831596"/>
    <w:rsid w:val="00837B4D"/>
    <w:rsid w:val="00841871"/>
    <w:rsid w:val="00842578"/>
    <w:rsid w:val="00846661"/>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372D2"/>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6D7D"/>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CF1845"/>
    <w:rsid w:val="00D03C12"/>
    <w:rsid w:val="00D10930"/>
    <w:rsid w:val="00D1247E"/>
    <w:rsid w:val="00D21BCE"/>
    <w:rsid w:val="00D516C1"/>
    <w:rsid w:val="00D6344F"/>
    <w:rsid w:val="00D80554"/>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3147"/>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POST/DYS/OLD/GZ/04644/2025                        </dmsv2SWPP2ObjectNumber>
    <dmsv2SWPP2SumMD5 xmlns="http://schemas.microsoft.com/sharepoint/v3">30be213c4fbe6055975d29c033c2a2a6</dmsv2SWPP2SumMD5>
    <dmsv2BaseMoved xmlns="http://schemas.microsoft.com/sharepoint/v3">false</dmsv2BaseMoved>
    <dmsv2BaseIsSensitive xmlns="http://schemas.microsoft.com/sharepoint/v3">true</dmsv2BaseIsSensitive>
    <dmsv2SWPP2IDSWPP2 xmlns="http://schemas.microsoft.com/sharepoint/v3">702522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24108288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JEUP5JKVCYQC-922955212-20832</_dlc_DocId>
    <_dlc_DocIdUrl xmlns="a19cb1c7-c5c7-46d4-85ae-d83685407bba">
      <Url>https://swpp2.dms.gkpge.pl/sites/41/_layouts/15/DocIdRedir.aspx?ID=JEUP5JKVCYQC-922955212-20832</Url>
      <Description>JEUP5JKVCYQC-922955212-20832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27F0E93-52C0-4470-B95D-3003CA0D1343}">
  <ds:schemaRefs>
    <ds:schemaRef ds:uri="http://schemas.openxmlformats.org/officeDocument/2006/bibliography"/>
  </ds:schemaRefs>
</ds:datastoreItem>
</file>

<file path=customXml/itemProps3.xml><?xml version="1.0" encoding="utf-8"?>
<ds:datastoreItem xmlns:ds="http://schemas.openxmlformats.org/officeDocument/2006/customXml" ds:itemID="{73040B02-F6FD-4497-B200-12DDB3C97B1D}">
  <ds:schemaRefs>
    <ds:schemaRef ds:uri="http://schemas.microsoft.com/sharepoint/event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5F19B24A-D19E-4C73-86AA-0408BA7DFB2D}"/>
</file>

<file path=docProps/app.xml><?xml version="1.0" encoding="utf-8"?>
<Properties xmlns="http://schemas.openxmlformats.org/officeDocument/2006/extended-properties" xmlns:vt="http://schemas.openxmlformats.org/officeDocument/2006/docPropsVTypes">
  <Template>PGE word swz test</Template>
  <TotalTime>117</TotalTime>
  <Pages>5</Pages>
  <Words>2055</Words>
  <Characters>12334</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21</cp:revision>
  <cp:lastPrinted>2024-07-15T11:21:00Z</cp:lastPrinted>
  <dcterms:created xsi:type="dcterms:W3CDTF">2025-10-01T10:46:00Z</dcterms:created>
  <dcterms:modified xsi:type="dcterms:W3CDTF">2026-01-13T07:07:00Z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2e29bda8-566a-4e9e-9b25-2630c65b737b</vt:lpwstr>
  </property>
</Properties>
</file>